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87" w:rsidRPr="00821AE4" w:rsidRDefault="007F3D87" w:rsidP="007F3D87">
      <w:pPr>
        <w:jc w:val="center"/>
        <w:rPr>
          <w:rFonts w:cs="Arial"/>
        </w:rPr>
      </w:pPr>
      <w:r>
        <w:rPr>
          <w:rFonts w:cs="Arial"/>
        </w:rPr>
        <w:t>Gegenargumente zur Verkehrsuntersuchung</w:t>
      </w:r>
    </w:p>
    <w:p w:rsidR="007F3D87" w:rsidRPr="00821AE4" w:rsidRDefault="007F3D87" w:rsidP="007F3D87">
      <w:pPr>
        <w:rPr>
          <w:rFonts w:cs="Arial"/>
        </w:rPr>
      </w:pPr>
    </w:p>
    <w:p w:rsidR="007F3D87" w:rsidRPr="00DD431F" w:rsidRDefault="007F3D87" w:rsidP="007F3D87">
      <w:pPr>
        <w:pStyle w:val="Listenabsatz"/>
        <w:numPr>
          <w:ilvl w:val="0"/>
          <w:numId w:val="1"/>
        </w:numPr>
        <w:rPr>
          <w:rFonts w:cs="Arial"/>
          <w:b/>
        </w:rPr>
      </w:pPr>
      <w:r w:rsidRPr="00821AE4">
        <w:rPr>
          <w:rFonts w:cs="Arial"/>
        </w:rPr>
        <w:t xml:space="preserve">Die vorgelegte Verkehrsuntersuchung aus dem Jahre 2015 ist nicht aktuell. Sie aktualisiert lediglich eine Verkehrsuntersuchung aus dem Jahre 2006, ohne die Verkehre tatsächlich gezählt zu haben. Notwendig gewesen wäre, eine neue Verkehrsuntersuchung zu erstellen, die auf </w:t>
      </w:r>
      <w:r w:rsidRPr="00DD431F">
        <w:rPr>
          <w:rFonts w:cs="Arial"/>
          <w:b/>
        </w:rPr>
        <w:t>aktuellen Verkehrszählungen beruht.</w:t>
      </w:r>
    </w:p>
    <w:p w:rsidR="007F3D87" w:rsidRPr="007F3D87" w:rsidRDefault="007F3D87" w:rsidP="007F3D87">
      <w:pPr>
        <w:ind w:left="360"/>
        <w:rPr>
          <w:rFonts w:cs="Arial"/>
        </w:rPr>
      </w:pPr>
    </w:p>
    <w:p w:rsidR="007F3D87" w:rsidRDefault="007F3D87" w:rsidP="007F3D87">
      <w:pPr>
        <w:pStyle w:val="Listenabsatz"/>
        <w:numPr>
          <w:ilvl w:val="0"/>
          <w:numId w:val="1"/>
        </w:numPr>
        <w:rPr>
          <w:rFonts w:cs="Arial"/>
        </w:rPr>
      </w:pPr>
      <w:r w:rsidRPr="00821AE4">
        <w:rPr>
          <w:rFonts w:cs="Arial"/>
        </w:rPr>
        <w:t>Der Prognosehorizont ist falsch. Eingeleitet wurde das Planfeststellungsverfahren im Jahre 2017. Üblicherweise liegt der Prognosehorizont 10 Jahre in der Zukunft; das wäre das Jahr 2027.</w:t>
      </w:r>
    </w:p>
    <w:p w:rsidR="007F3D87" w:rsidRPr="007F3D87" w:rsidRDefault="007F3D87" w:rsidP="007F3D87">
      <w:pPr>
        <w:ind w:left="360"/>
        <w:rPr>
          <w:rFonts w:cs="Arial"/>
        </w:rPr>
      </w:pPr>
    </w:p>
    <w:p w:rsidR="007F3D87" w:rsidRPr="00821AE4" w:rsidRDefault="007F3D87" w:rsidP="007F3D87">
      <w:pPr>
        <w:pStyle w:val="Listenabsatz"/>
        <w:widowControl w:val="0"/>
        <w:numPr>
          <w:ilvl w:val="0"/>
          <w:numId w:val="1"/>
        </w:numPr>
        <w:autoSpaceDE w:val="0"/>
        <w:autoSpaceDN w:val="0"/>
        <w:adjustRightInd w:val="0"/>
        <w:rPr>
          <w:rFonts w:cs="Arial"/>
        </w:rPr>
      </w:pPr>
      <w:r w:rsidRPr="00821AE4">
        <w:rPr>
          <w:rFonts w:cs="Arial"/>
        </w:rPr>
        <w:t xml:space="preserve">Die Methode, mit deren Hilfe das Verkehrsaufkommen berechnet und prognostiziert wird, ist falsch. Die Grundlage der Berechnung des Verkehrsaufkommens im Erläuterungsbericht </w:t>
      </w:r>
      <w:r>
        <w:rPr>
          <w:rFonts w:cs="Arial"/>
        </w:rPr>
        <w:t>sind</w:t>
      </w:r>
      <w:r w:rsidRPr="00821AE4">
        <w:rPr>
          <w:rFonts w:cs="Arial"/>
        </w:rPr>
        <w:t xml:space="preserve"> amtl. Verkehrszählung</w:t>
      </w:r>
      <w:r>
        <w:rPr>
          <w:rFonts w:cs="Arial"/>
        </w:rPr>
        <w:t>en aus den</w:t>
      </w:r>
      <w:r w:rsidRPr="00821AE4">
        <w:rPr>
          <w:rFonts w:cs="Arial"/>
        </w:rPr>
        <w:t xml:space="preserve"> Jahr</w:t>
      </w:r>
      <w:r>
        <w:rPr>
          <w:rFonts w:cs="Arial"/>
        </w:rPr>
        <w:t xml:space="preserve">en 2005 und </w:t>
      </w:r>
      <w:r w:rsidRPr="00821AE4">
        <w:rPr>
          <w:rFonts w:cs="Arial"/>
        </w:rPr>
        <w:t xml:space="preserve"> 2010. Diese Zahlen wurden zur Grundlage genommen, um das aktuelle und das prognostizierte Verkehrsaufkommen zu berechnen. Üblicherweise werden bei einem Projekt dieser Größenordnung und Tragweite an allen relevanten Knotenpunkten und ausgewählten Querschnitten im Untersuchungsraum </w:t>
      </w:r>
      <w:r w:rsidRPr="00821AE4">
        <w:rPr>
          <w:rFonts w:cs="Arial"/>
          <w:b/>
        </w:rPr>
        <w:t>aktuelle</w:t>
      </w:r>
      <w:r w:rsidRPr="00821AE4">
        <w:rPr>
          <w:rFonts w:cs="Arial"/>
        </w:rPr>
        <w:t xml:space="preserve"> Verkehrszählungen </w:t>
      </w:r>
      <w:proofErr w:type="spellStart"/>
      <w:r w:rsidRPr="00821AE4">
        <w:rPr>
          <w:rFonts w:cs="Arial"/>
        </w:rPr>
        <w:t>durchgeführt</w:t>
      </w:r>
      <w:proofErr w:type="spellEnd"/>
      <w:r w:rsidRPr="00821AE4">
        <w:rPr>
          <w:rFonts w:cs="Arial"/>
        </w:rPr>
        <w:t xml:space="preserve">. </w:t>
      </w:r>
    </w:p>
    <w:p w:rsidR="007F3D87" w:rsidRPr="00821AE4" w:rsidRDefault="007F3D87" w:rsidP="007F3D87">
      <w:pPr>
        <w:widowControl w:val="0"/>
        <w:autoSpaceDE w:val="0"/>
        <w:autoSpaceDN w:val="0"/>
        <w:adjustRightInd w:val="0"/>
        <w:ind w:left="708"/>
        <w:rPr>
          <w:rFonts w:cs="Arial"/>
        </w:rPr>
      </w:pPr>
      <w:r w:rsidRPr="00821AE4">
        <w:rPr>
          <w:rFonts w:cs="Arial"/>
        </w:rPr>
        <w:t xml:space="preserve">Die Eichung der „Modellsimulation“ anhand der zum Zeitpunkt der Verkehrsuntersuchung bereits </w:t>
      </w:r>
      <w:proofErr w:type="spellStart"/>
      <w:r w:rsidRPr="00821AE4">
        <w:rPr>
          <w:rFonts w:cs="Arial"/>
        </w:rPr>
        <w:t>fünf</w:t>
      </w:r>
      <w:proofErr w:type="spellEnd"/>
      <w:r w:rsidRPr="00821AE4">
        <w:rPr>
          <w:rFonts w:cs="Arial"/>
        </w:rPr>
        <w:t xml:space="preserve"> Jahre alten Ergebnisse der SVZ 2010 ist völlig unzureichend. Konkrete Angaben, welche Dauerzählstellen im Untersuchungsbereich ausgewertet wurden, fehlen.</w:t>
      </w:r>
    </w:p>
    <w:p w:rsidR="007F3D87" w:rsidRPr="00821AE4" w:rsidRDefault="007F3D87" w:rsidP="007F3D87">
      <w:pPr>
        <w:widowControl w:val="0"/>
        <w:autoSpaceDE w:val="0"/>
        <w:autoSpaceDN w:val="0"/>
        <w:adjustRightInd w:val="0"/>
        <w:ind w:left="708"/>
        <w:rPr>
          <w:rFonts w:cs="Arial"/>
        </w:rPr>
      </w:pPr>
    </w:p>
    <w:p w:rsidR="007F3D87" w:rsidRPr="00821AE4" w:rsidRDefault="007F3D87" w:rsidP="007F3D87">
      <w:pPr>
        <w:pStyle w:val="Listenabsatz"/>
        <w:widowControl w:val="0"/>
        <w:numPr>
          <w:ilvl w:val="0"/>
          <w:numId w:val="1"/>
        </w:numPr>
        <w:autoSpaceDE w:val="0"/>
        <w:autoSpaceDN w:val="0"/>
        <w:adjustRightInd w:val="0"/>
        <w:rPr>
          <w:rFonts w:cs="Arial"/>
        </w:rPr>
      </w:pPr>
      <w:r w:rsidRPr="00821AE4">
        <w:rPr>
          <w:rFonts w:cs="Arial"/>
        </w:rPr>
        <w:t xml:space="preserve">Offensichtlich wurden nur die vorangegangenen Untersuchungen aktualisiert. Dies ist aufgrund der in der Zwischenzeit erfolgten Veränderungen im regionalen und </w:t>
      </w:r>
      <w:proofErr w:type="spellStart"/>
      <w:r w:rsidRPr="00821AE4">
        <w:rPr>
          <w:rFonts w:cs="Arial"/>
        </w:rPr>
        <w:t>überregionalen</w:t>
      </w:r>
      <w:proofErr w:type="spellEnd"/>
      <w:r w:rsidRPr="00821AE4">
        <w:rPr>
          <w:rFonts w:cs="Arial"/>
        </w:rPr>
        <w:t xml:space="preserve"> Verkehrsnetz unzureichend. Da der B</w:t>
      </w:r>
      <w:r>
        <w:rPr>
          <w:rFonts w:cs="Arial"/>
        </w:rPr>
        <w:t>urgholztunnel erst im März 2006</w:t>
      </w:r>
      <w:r w:rsidRPr="00821AE4">
        <w:rPr>
          <w:rFonts w:cs="Arial"/>
        </w:rPr>
        <w:t xml:space="preserve"> eröffnet wurde, ist nicht zu erwarten, dass die 2005 stattgefundenen Verkehrszählungen  eine belastbare Aussage </w:t>
      </w:r>
      <w:proofErr w:type="spellStart"/>
      <w:r w:rsidRPr="00821AE4">
        <w:rPr>
          <w:rFonts w:cs="Arial"/>
        </w:rPr>
        <w:t>über</w:t>
      </w:r>
      <w:proofErr w:type="spellEnd"/>
      <w:r w:rsidRPr="00821AE4">
        <w:rPr>
          <w:rFonts w:cs="Arial"/>
        </w:rPr>
        <w:t xml:space="preserve"> das derzeitige Verkehrsaufkommen ermöglichen bzw. fortgeschrieben werden können. Auch ist es unzureichend, die Un</w:t>
      </w:r>
      <w:r>
        <w:rPr>
          <w:rFonts w:cs="Arial"/>
        </w:rPr>
        <w:t>tersuchungen zur JVA Parkstraße</w:t>
      </w:r>
      <w:r w:rsidRPr="00821AE4">
        <w:rPr>
          <w:rFonts w:cs="Arial"/>
        </w:rPr>
        <w:t xml:space="preserve"> zu aktualisieren. Da die JVA im Mai 2011 an die Justiz </w:t>
      </w:r>
      <w:proofErr w:type="spellStart"/>
      <w:r w:rsidRPr="00821AE4">
        <w:rPr>
          <w:rFonts w:cs="Arial"/>
        </w:rPr>
        <w:t>übergeben</w:t>
      </w:r>
      <w:proofErr w:type="spellEnd"/>
      <w:r w:rsidRPr="00821AE4">
        <w:rPr>
          <w:rFonts w:cs="Arial"/>
        </w:rPr>
        <w:t xml:space="preserve"> wurde</w:t>
      </w:r>
      <w:r>
        <w:rPr>
          <w:rFonts w:cs="Arial"/>
        </w:rPr>
        <w:t xml:space="preserve"> </w:t>
      </w:r>
      <w:r w:rsidRPr="00821AE4">
        <w:rPr>
          <w:rFonts w:cs="Arial"/>
        </w:rPr>
        <w:t xml:space="preserve">und in unmittelbarer Nachbarschaft am 31.10.2014 die Justizvollzugsschule NRW und die Landesfinanzschule NRW8 </w:t>
      </w:r>
      <w:proofErr w:type="spellStart"/>
      <w:r w:rsidRPr="00821AE4">
        <w:rPr>
          <w:rFonts w:cs="Arial"/>
        </w:rPr>
        <w:t>für</w:t>
      </w:r>
      <w:proofErr w:type="spellEnd"/>
      <w:r w:rsidRPr="00821AE4">
        <w:rPr>
          <w:rFonts w:cs="Arial"/>
        </w:rPr>
        <w:t xml:space="preserve"> insgesamt 540 </w:t>
      </w:r>
      <w:proofErr w:type="spellStart"/>
      <w:r w:rsidRPr="00821AE4">
        <w:rPr>
          <w:rFonts w:cs="Arial"/>
        </w:rPr>
        <w:t>Schüler</w:t>
      </w:r>
      <w:proofErr w:type="spellEnd"/>
      <w:r w:rsidRPr="00821AE4">
        <w:rPr>
          <w:rFonts w:cs="Arial"/>
        </w:rPr>
        <w:t xml:space="preserve"> eröffnet wurden, wären auch aus diesem Grund aktuelle Verkehrserhebungen (Befragungszählung) notwendig.</w:t>
      </w:r>
    </w:p>
    <w:p w:rsidR="007F3D87" w:rsidRPr="00821AE4" w:rsidRDefault="007F3D87" w:rsidP="007F3D87">
      <w:pPr>
        <w:widowControl w:val="0"/>
        <w:autoSpaceDE w:val="0"/>
        <w:autoSpaceDN w:val="0"/>
        <w:adjustRightInd w:val="0"/>
        <w:ind w:left="708"/>
        <w:rPr>
          <w:rFonts w:cs="Arial"/>
        </w:rPr>
      </w:pPr>
    </w:p>
    <w:p w:rsidR="007F3D87" w:rsidRPr="00821AE4" w:rsidRDefault="007F3D87" w:rsidP="007F3D87">
      <w:pPr>
        <w:widowControl w:val="0"/>
        <w:autoSpaceDE w:val="0"/>
        <w:autoSpaceDN w:val="0"/>
        <w:adjustRightInd w:val="0"/>
        <w:rPr>
          <w:rFonts w:cs="Arial"/>
        </w:rPr>
      </w:pPr>
    </w:p>
    <w:p w:rsidR="007F3D87" w:rsidRPr="007F3D87" w:rsidRDefault="007F3D87" w:rsidP="007F3D87">
      <w:pPr>
        <w:pStyle w:val="Listenabsatz"/>
        <w:widowControl w:val="0"/>
        <w:numPr>
          <w:ilvl w:val="0"/>
          <w:numId w:val="1"/>
        </w:numPr>
        <w:autoSpaceDE w:val="0"/>
        <w:autoSpaceDN w:val="0"/>
        <w:adjustRightInd w:val="0"/>
        <w:rPr>
          <w:rFonts w:cs="Arial"/>
        </w:rPr>
      </w:pPr>
      <w:r w:rsidRPr="007F3D87">
        <w:rPr>
          <w:rFonts w:cs="Arial"/>
        </w:rPr>
        <w:t xml:space="preserve">In der Verkehrsuntersuchung, auf die sich der Erläuterungsbericht stützt, wird angegeben, dass zunächst die Ergebnisse der Straßenverkehrszählungen von 2000 bis 2010 ausgewertet wurden und Auswertungen einer Dauerzählstelle im Bereich Tunnel </w:t>
      </w:r>
      <w:proofErr w:type="spellStart"/>
      <w:r w:rsidRPr="007F3D87">
        <w:rPr>
          <w:rFonts w:cs="Arial"/>
        </w:rPr>
        <w:t>Burgholz</w:t>
      </w:r>
      <w:proofErr w:type="spellEnd"/>
      <w:r w:rsidRPr="007F3D87">
        <w:rPr>
          <w:rFonts w:cs="Arial"/>
        </w:rPr>
        <w:t xml:space="preserve"> verwendet wurden. Es fällt jedoch auf, dass an sechs der insgesamt 18 Zählstellen im Jahr 2010 keine Daten </w:t>
      </w:r>
      <w:proofErr w:type="spellStart"/>
      <w:r w:rsidRPr="007F3D87">
        <w:rPr>
          <w:rFonts w:cs="Arial"/>
        </w:rPr>
        <w:t>verfügbar</w:t>
      </w:r>
      <w:proofErr w:type="spellEnd"/>
      <w:r w:rsidRPr="007F3D87">
        <w:rPr>
          <w:rFonts w:cs="Arial"/>
        </w:rPr>
        <w:t xml:space="preserve"> waren. Die nicht </w:t>
      </w:r>
      <w:proofErr w:type="spellStart"/>
      <w:r w:rsidRPr="007F3D87">
        <w:rPr>
          <w:rFonts w:cs="Arial"/>
        </w:rPr>
        <w:t>verfügbaren</w:t>
      </w:r>
      <w:proofErr w:type="spellEnd"/>
      <w:r w:rsidRPr="007F3D87">
        <w:rPr>
          <w:rFonts w:cs="Arial"/>
        </w:rPr>
        <w:t xml:space="preserve"> Zähldaten betreffen dabei auch das engere Plangebiet der L 417, der L 419, K 21 (Oberbergische Straße – </w:t>
      </w:r>
      <w:proofErr w:type="spellStart"/>
      <w:r w:rsidRPr="007F3D87">
        <w:rPr>
          <w:rFonts w:cs="Arial"/>
        </w:rPr>
        <w:t>Lichtscheid</w:t>
      </w:r>
      <w:proofErr w:type="spellEnd"/>
      <w:r w:rsidRPr="007F3D87">
        <w:rPr>
          <w:rFonts w:cs="Arial"/>
        </w:rPr>
        <w:t>) und K 3 (</w:t>
      </w:r>
      <w:proofErr w:type="spellStart"/>
      <w:r w:rsidRPr="007F3D87">
        <w:rPr>
          <w:rFonts w:cs="Arial"/>
        </w:rPr>
        <w:t>Erbschlöerstraße</w:t>
      </w:r>
      <w:proofErr w:type="spellEnd"/>
      <w:r w:rsidRPr="007F3D87">
        <w:rPr>
          <w:rFonts w:cs="Arial"/>
        </w:rPr>
        <w:t xml:space="preserve"> – </w:t>
      </w:r>
      <w:proofErr w:type="spellStart"/>
      <w:r w:rsidRPr="007F3D87">
        <w:rPr>
          <w:rFonts w:cs="Arial"/>
        </w:rPr>
        <w:t>Rondsdorf</w:t>
      </w:r>
      <w:proofErr w:type="spellEnd"/>
      <w:r w:rsidRPr="007F3D87">
        <w:rPr>
          <w:rFonts w:cs="Arial"/>
        </w:rPr>
        <w:t xml:space="preserve">). Das </w:t>
      </w:r>
      <w:proofErr w:type="spellStart"/>
      <w:r w:rsidRPr="007F3D87">
        <w:rPr>
          <w:rFonts w:cs="Arial"/>
        </w:rPr>
        <w:t>Datengerüst</w:t>
      </w:r>
      <w:proofErr w:type="spellEnd"/>
      <w:r w:rsidRPr="007F3D87">
        <w:rPr>
          <w:rFonts w:cs="Arial"/>
        </w:rPr>
        <w:t xml:space="preserve"> der SVZ ist schon aus diesem Grund nicht ausreichend, um auf dieser Grundlage einen Analysefall zu entwickeln.</w:t>
      </w:r>
    </w:p>
    <w:p w:rsidR="007F3D87" w:rsidRPr="00821AE4" w:rsidRDefault="007F3D87" w:rsidP="007F3D87">
      <w:pPr>
        <w:widowControl w:val="0"/>
        <w:autoSpaceDE w:val="0"/>
        <w:autoSpaceDN w:val="0"/>
        <w:adjustRightInd w:val="0"/>
        <w:rPr>
          <w:rFonts w:cs="Arial"/>
        </w:rPr>
      </w:pPr>
      <w:r w:rsidRPr="00821AE4">
        <w:rPr>
          <w:rFonts w:cs="Arial"/>
          <w:noProof/>
        </w:rPr>
        <w:lastRenderedPageBreak/>
        <w:drawing>
          <wp:inline distT="0" distB="0" distL="0" distR="0" wp14:anchorId="08772CF4" wp14:editId="5F0439D2">
            <wp:extent cx="5756275" cy="353568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275" cy="3535680"/>
                    </a:xfrm>
                    <a:prstGeom prst="rect">
                      <a:avLst/>
                    </a:prstGeom>
                    <a:noFill/>
                    <a:ln>
                      <a:noFill/>
                    </a:ln>
                  </pic:spPr>
                </pic:pic>
              </a:graphicData>
            </a:graphic>
          </wp:inline>
        </w:drawing>
      </w:r>
    </w:p>
    <w:p w:rsidR="007F3D87" w:rsidRPr="00821AE4" w:rsidRDefault="007F3D87" w:rsidP="007F3D87">
      <w:pPr>
        <w:widowControl w:val="0"/>
        <w:autoSpaceDE w:val="0"/>
        <w:autoSpaceDN w:val="0"/>
        <w:adjustRightInd w:val="0"/>
        <w:rPr>
          <w:rFonts w:cs="Arial"/>
        </w:rPr>
      </w:pPr>
    </w:p>
    <w:p w:rsidR="007F3D87" w:rsidRPr="00821AE4" w:rsidRDefault="007F3D87" w:rsidP="007F3D87">
      <w:pPr>
        <w:widowControl w:val="0"/>
        <w:autoSpaceDE w:val="0"/>
        <w:autoSpaceDN w:val="0"/>
        <w:adjustRightInd w:val="0"/>
        <w:ind w:left="1068"/>
        <w:rPr>
          <w:rFonts w:cs="Arial"/>
        </w:rPr>
      </w:pPr>
      <w:r w:rsidRPr="00821AE4">
        <w:rPr>
          <w:rFonts w:cs="Arial"/>
        </w:rPr>
        <w:t xml:space="preserve">Dies verdeutlicht die völlig unzureichende Dokumentation der Zähldaten und </w:t>
      </w:r>
      <w:r w:rsidRPr="00821AE4">
        <w:rPr>
          <w:rFonts w:cs="Arial"/>
          <w:b/>
        </w:rPr>
        <w:t xml:space="preserve">das gravierende Versäumnis im Jahr 2014 eine aktuelle Verkehrszählung </w:t>
      </w:r>
      <w:proofErr w:type="spellStart"/>
      <w:r w:rsidRPr="00821AE4">
        <w:rPr>
          <w:rFonts w:cs="Arial"/>
          <w:b/>
        </w:rPr>
        <w:t>durchgeführt</w:t>
      </w:r>
      <w:proofErr w:type="spellEnd"/>
      <w:r w:rsidRPr="00821AE4">
        <w:rPr>
          <w:rFonts w:cs="Arial"/>
          <w:b/>
        </w:rPr>
        <w:t xml:space="preserve"> zu haben. </w:t>
      </w:r>
      <w:r w:rsidRPr="00821AE4">
        <w:rPr>
          <w:rFonts w:cs="Arial"/>
        </w:rPr>
        <w:t>Denn nur damit wäre ein sinnvoller Vergleich zwischen den gezählten und den mit dem Verkehrsmodell ermittelten Werten möglich.</w:t>
      </w:r>
    </w:p>
    <w:p w:rsidR="007F3D87" w:rsidRPr="00821AE4" w:rsidRDefault="007F3D87" w:rsidP="007F3D87">
      <w:pPr>
        <w:widowControl w:val="0"/>
        <w:autoSpaceDE w:val="0"/>
        <w:autoSpaceDN w:val="0"/>
        <w:adjustRightInd w:val="0"/>
        <w:ind w:left="1068"/>
        <w:rPr>
          <w:rFonts w:cs="Arial"/>
        </w:rPr>
      </w:pPr>
    </w:p>
    <w:p w:rsidR="007F3D87" w:rsidRPr="007F3D87" w:rsidRDefault="007F3D87" w:rsidP="007F3D87">
      <w:pPr>
        <w:pStyle w:val="Listenabsatz"/>
        <w:widowControl w:val="0"/>
        <w:numPr>
          <w:ilvl w:val="0"/>
          <w:numId w:val="1"/>
        </w:numPr>
        <w:autoSpaceDE w:val="0"/>
        <w:autoSpaceDN w:val="0"/>
        <w:adjustRightInd w:val="0"/>
        <w:rPr>
          <w:rFonts w:cs="Arial"/>
        </w:rPr>
      </w:pPr>
      <w:r w:rsidRPr="007F3D87">
        <w:rPr>
          <w:rFonts w:cs="Arial"/>
        </w:rPr>
        <w:t>Angaben zu LKW-Belastungen und einen Vergleich von Zählergebnissen und dem Analyse-Null-Fall gibt es nicht.</w:t>
      </w:r>
    </w:p>
    <w:p w:rsidR="007F3D87" w:rsidRPr="00821AE4" w:rsidRDefault="007F3D87" w:rsidP="007F3D87">
      <w:pPr>
        <w:widowControl w:val="0"/>
        <w:autoSpaceDE w:val="0"/>
        <w:autoSpaceDN w:val="0"/>
        <w:adjustRightInd w:val="0"/>
        <w:ind w:left="1068"/>
        <w:rPr>
          <w:rFonts w:cs="Arial"/>
        </w:rPr>
      </w:pPr>
    </w:p>
    <w:p w:rsidR="007F3D87" w:rsidRPr="007F3D87" w:rsidRDefault="007F3D87" w:rsidP="007F3D87">
      <w:pPr>
        <w:pStyle w:val="Listenabsatz"/>
        <w:widowControl w:val="0"/>
        <w:numPr>
          <w:ilvl w:val="0"/>
          <w:numId w:val="1"/>
        </w:numPr>
        <w:autoSpaceDE w:val="0"/>
        <w:autoSpaceDN w:val="0"/>
        <w:adjustRightInd w:val="0"/>
        <w:rPr>
          <w:rFonts w:cs="Arial"/>
        </w:rPr>
      </w:pPr>
      <w:r w:rsidRPr="007F3D87">
        <w:rPr>
          <w:rFonts w:cs="Arial"/>
        </w:rPr>
        <w:t xml:space="preserve">Die Zahlen zum Verkehrsaufkommen sind in sich widersprüchlich. So beträgt die Abweichung zwischen der Verkehrszählung von 2010 und dem berechneten Analyse-Null – Fall 2013 an der L 419 westlich der </w:t>
      </w:r>
      <w:proofErr w:type="spellStart"/>
      <w:r w:rsidRPr="007F3D87">
        <w:rPr>
          <w:rFonts w:cs="Arial"/>
        </w:rPr>
        <w:t>Erbschlöer</w:t>
      </w:r>
      <w:proofErr w:type="spellEnd"/>
      <w:r w:rsidRPr="007F3D87">
        <w:rPr>
          <w:rFonts w:cs="Arial"/>
        </w:rPr>
        <w:t xml:space="preserve"> Straße ein Minus von 5197 Kfz/24h – das sind 23,4%. Demnach hätte der Verkehr auf der Parkstraße zwischen 2010 und 2013 um </w:t>
      </w:r>
      <w:r w:rsidRPr="007F3D87">
        <w:rPr>
          <w:rFonts w:cs="Arial"/>
          <w:b/>
        </w:rPr>
        <w:t>mehr als 23% abgenommen.</w:t>
      </w:r>
      <w:r w:rsidRPr="007F3D87">
        <w:rPr>
          <w:rFonts w:cs="Arial"/>
        </w:rPr>
        <w:t xml:space="preserve">  Diese </w:t>
      </w:r>
      <w:proofErr w:type="spellStart"/>
      <w:r w:rsidRPr="007F3D87">
        <w:rPr>
          <w:rFonts w:cs="Arial"/>
        </w:rPr>
        <w:t>Verkehrsrückgänge</w:t>
      </w:r>
      <w:proofErr w:type="spellEnd"/>
      <w:r w:rsidRPr="007F3D87">
        <w:rPr>
          <w:rFonts w:cs="Arial"/>
        </w:rPr>
        <w:t xml:space="preserve"> im unmittelbaren Projektbereich sind nicht nachvollziehbar, da davon auszugehen ist, dass der Verkehr in diesem Bereich zwischen 2010 und 2013 bzw. 2005 und 2013 (K3) zugenommen und nicht abgenommen hat. Zumal es im Umfeld auch zu neuen Nutzungen gekommen ist. </w:t>
      </w:r>
    </w:p>
    <w:p w:rsidR="007F3D87" w:rsidRPr="00821AE4" w:rsidRDefault="007F3D87" w:rsidP="007F3D87">
      <w:pPr>
        <w:widowControl w:val="0"/>
        <w:autoSpaceDE w:val="0"/>
        <w:autoSpaceDN w:val="0"/>
        <w:adjustRightInd w:val="0"/>
        <w:ind w:left="1068"/>
        <w:rPr>
          <w:rFonts w:cs="Arial"/>
        </w:rPr>
      </w:pPr>
    </w:p>
    <w:p w:rsidR="007F3D87" w:rsidRPr="005D7D6F" w:rsidRDefault="007F3D87" w:rsidP="005D7D6F">
      <w:pPr>
        <w:pStyle w:val="Listenabsatz"/>
        <w:widowControl w:val="0"/>
        <w:numPr>
          <w:ilvl w:val="0"/>
          <w:numId w:val="1"/>
        </w:numPr>
        <w:autoSpaceDE w:val="0"/>
        <w:autoSpaceDN w:val="0"/>
        <w:adjustRightInd w:val="0"/>
        <w:rPr>
          <w:rFonts w:cs="Arial"/>
        </w:rPr>
      </w:pPr>
      <w:r w:rsidRPr="007F3D87">
        <w:rPr>
          <w:rFonts w:cs="Arial"/>
        </w:rPr>
        <w:t xml:space="preserve">Auch die Werte auf der A1 weisen starke Abweichungen zwischen den Zahlen der Verkehrszählung 2015 und den Prognosezahlen für das Jahr 2014 auf. Vergleicht man die Angaben von IVV (Das ist das Institut, das von Straßen NRW mit dem Verkehrsgutachten beauftragt wurde.) </w:t>
      </w:r>
      <w:proofErr w:type="spellStart"/>
      <w:r w:rsidRPr="007F3D87">
        <w:rPr>
          <w:rFonts w:cs="Arial"/>
        </w:rPr>
        <w:t>für</w:t>
      </w:r>
      <w:proofErr w:type="spellEnd"/>
      <w:r w:rsidRPr="007F3D87">
        <w:rPr>
          <w:rFonts w:cs="Arial"/>
        </w:rPr>
        <w:t xml:space="preserve"> 2013 mit den Angaben der SVZ 2015 </w:t>
      </w:r>
      <w:proofErr w:type="spellStart"/>
      <w:r w:rsidRPr="007F3D87">
        <w:rPr>
          <w:rFonts w:cs="Arial"/>
        </w:rPr>
        <w:t>für</w:t>
      </w:r>
      <w:proofErr w:type="spellEnd"/>
      <w:r w:rsidRPr="007F3D87">
        <w:rPr>
          <w:rFonts w:cs="Arial"/>
        </w:rPr>
        <w:t xml:space="preserve"> die A 1 so ist erkennbar, dass die Werte der SVZ 2015 wesentlich höher sind als von</w:t>
      </w:r>
      <w:r w:rsidR="005D7D6F">
        <w:rPr>
          <w:rFonts w:cs="Arial"/>
        </w:rPr>
        <w:t xml:space="preserve"> </w:t>
      </w:r>
      <w:r w:rsidRPr="005D7D6F">
        <w:rPr>
          <w:rFonts w:cs="Arial"/>
        </w:rPr>
        <w:t xml:space="preserve">IVV  </w:t>
      </w:r>
      <w:proofErr w:type="spellStart"/>
      <w:r w:rsidRPr="005D7D6F">
        <w:rPr>
          <w:rFonts w:cs="Arial"/>
        </w:rPr>
        <w:t>für</w:t>
      </w:r>
      <w:proofErr w:type="spellEnd"/>
      <w:r w:rsidRPr="005D7D6F">
        <w:rPr>
          <w:rFonts w:cs="Arial"/>
        </w:rPr>
        <w:t xml:space="preserve"> den Analyse-Null-Fall 2013 angegeben. Die Abweichungen an</w:t>
      </w:r>
      <w:r w:rsidR="005D7D6F">
        <w:rPr>
          <w:rFonts w:cs="Arial"/>
        </w:rPr>
        <w:t xml:space="preserve"> </w:t>
      </w:r>
      <w:r w:rsidRPr="005D7D6F">
        <w:rPr>
          <w:rFonts w:cs="Arial"/>
        </w:rPr>
        <w:t xml:space="preserve">den </w:t>
      </w:r>
      <w:proofErr w:type="spellStart"/>
      <w:r w:rsidRPr="005D7D6F">
        <w:rPr>
          <w:rFonts w:cs="Arial"/>
        </w:rPr>
        <w:t>für</w:t>
      </w:r>
      <w:proofErr w:type="spellEnd"/>
      <w:r w:rsidRPr="005D7D6F">
        <w:rPr>
          <w:rFonts w:cs="Arial"/>
        </w:rPr>
        <w:t xml:space="preserve"> den geplanten Ausbau der L 419 besonders relevanten Abschnitten auf der</w:t>
      </w:r>
      <w:r w:rsidR="005D7D6F">
        <w:rPr>
          <w:rFonts w:cs="Arial"/>
        </w:rPr>
        <w:t xml:space="preserve"> </w:t>
      </w:r>
      <w:r w:rsidRPr="005D7D6F">
        <w:rPr>
          <w:rFonts w:cs="Arial"/>
        </w:rPr>
        <w:t>A1 nördlich der AS Wuppertal-Ronsdorf betragen +13.700 Kfz/24h (20,7 %) und</w:t>
      </w:r>
      <w:r w:rsidR="005D7D6F">
        <w:rPr>
          <w:rFonts w:cs="Arial"/>
        </w:rPr>
        <w:t xml:space="preserve"> </w:t>
      </w:r>
      <w:proofErr w:type="spellStart"/>
      <w:r w:rsidRPr="005D7D6F">
        <w:rPr>
          <w:rFonts w:cs="Arial"/>
        </w:rPr>
        <w:t>südlich</w:t>
      </w:r>
      <w:proofErr w:type="spellEnd"/>
      <w:r w:rsidRPr="005D7D6F">
        <w:rPr>
          <w:rFonts w:cs="Arial"/>
        </w:rPr>
        <w:t xml:space="preserve"> der AS Wuppertal-Ronsdorf +17.900 Kfz/24h (27,3 %). Das bedeutet, dass</w:t>
      </w:r>
      <w:r w:rsidR="005D7D6F">
        <w:rPr>
          <w:rFonts w:cs="Arial"/>
        </w:rPr>
        <w:t xml:space="preserve"> </w:t>
      </w:r>
      <w:r w:rsidRPr="005D7D6F">
        <w:rPr>
          <w:rFonts w:cs="Arial"/>
        </w:rPr>
        <w:t>auch auf der L 419 ein wesentlich höheres Verkehrsaufkommen zu erwarten ist, als von IVV angegeben.</w:t>
      </w:r>
    </w:p>
    <w:p w:rsidR="007F3D87" w:rsidRPr="00821AE4" w:rsidRDefault="007F3D87" w:rsidP="007F3D87">
      <w:pPr>
        <w:widowControl w:val="0"/>
        <w:autoSpaceDE w:val="0"/>
        <w:autoSpaceDN w:val="0"/>
        <w:adjustRightInd w:val="0"/>
        <w:ind w:left="1068"/>
        <w:rPr>
          <w:rFonts w:cs="Arial"/>
        </w:rPr>
      </w:pPr>
    </w:p>
    <w:p w:rsidR="007F3D87" w:rsidRPr="006A5963" w:rsidRDefault="007F3D87" w:rsidP="006A5963">
      <w:pPr>
        <w:pStyle w:val="Listenabsatz"/>
        <w:widowControl w:val="0"/>
        <w:numPr>
          <w:ilvl w:val="0"/>
          <w:numId w:val="1"/>
        </w:numPr>
        <w:autoSpaceDE w:val="0"/>
        <w:autoSpaceDN w:val="0"/>
        <w:adjustRightInd w:val="0"/>
        <w:rPr>
          <w:rFonts w:cs="Arial"/>
          <w:b/>
        </w:rPr>
      </w:pPr>
      <w:r w:rsidRPr="006A5963">
        <w:rPr>
          <w:rFonts w:cs="Arial"/>
        </w:rPr>
        <w:t>Die Zahlen zum Verkehrsaufkommen zwischen den Angaben der Verkehrsuntersuchung(2015) der Erläuterungsberichts zum Vorentwurf (2015)</w:t>
      </w:r>
    </w:p>
    <w:p w:rsidR="007F3D87" w:rsidRDefault="007F3D87" w:rsidP="006A5963">
      <w:pPr>
        <w:widowControl w:val="0"/>
        <w:autoSpaceDE w:val="0"/>
        <w:autoSpaceDN w:val="0"/>
        <w:adjustRightInd w:val="0"/>
        <w:ind w:left="720"/>
        <w:rPr>
          <w:rFonts w:cs="Arial"/>
        </w:rPr>
      </w:pPr>
      <w:r w:rsidRPr="00821AE4">
        <w:rPr>
          <w:rFonts w:cs="Arial"/>
          <w:b/>
        </w:rPr>
        <w:t xml:space="preserve">und des Erläuterungsberichts (2017) </w:t>
      </w:r>
      <w:r w:rsidRPr="00821AE4">
        <w:rPr>
          <w:rFonts w:cs="Arial"/>
        </w:rPr>
        <w:t xml:space="preserve">sind </w:t>
      </w:r>
      <w:bookmarkStart w:id="0" w:name="_GoBack"/>
      <w:bookmarkEnd w:id="0"/>
      <w:r w:rsidRPr="00821AE4">
        <w:rPr>
          <w:rFonts w:cs="Arial"/>
        </w:rPr>
        <w:t xml:space="preserve">unterschiedlich. Es gibt keine Begründung, wie diese unterschiedlichen Zahlen zustande gekommen sind. </w:t>
      </w:r>
    </w:p>
    <w:p w:rsidR="007F3D87" w:rsidRDefault="007F3D87" w:rsidP="007F3D87">
      <w:pPr>
        <w:widowControl w:val="0"/>
        <w:autoSpaceDE w:val="0"/>
        <w:autoSpaceDN w:val="0"/>
        <w:adjustRightInd w:val="0"/>
        <w:ind w:left="1068"/>
        <w:rPr>
          <w:rFonts w:cs="Arial"/>
        </w:rPr>
      </w:pPr>
    </w:p>
    <w:p w:rsidR="007F3D87" w:rsidRPr="006A5963" w:rsidRDefault="007F3D87" w:rsidP="006A5963">
      <w:pPr>
        <w:widowControl w:val="0"/>
        <w:autoSpaceDE w:val="0"/>
        <w:autoSpaceDN w:val="0"/>
        <w:adjustRightInd w:val="0"/>
        <w:ind w:left="708"/>
        <w:rPr>
          <w:rFonts w:cs="Arial"/>
        </w:rPr>
      </w:pPr>
      <w:r w:rsidRPr="006A5963">
        <w:rPr>
          <w:rFonts w:cs="Arial"/>
        </w:rPr>
        <w:t xml:space="preserve">Vergleich der Zahlen zur Verkehrsbelastung zum </w:t>
      </w:r>
      <w:proofErr w:type="spellStart"/>
      <w:r w:rsidRPr="006A5963">
        <w:rPr>
          <w:rFonts w:cs="Arial"/>
        </w:rPr>
        <w:t>Planfall</w:t>
      </w:r>
      <w:proofErr w:type="spellEnd"/>
      <w:r w:rsidRPr="006A5963">
        <w:rPr>
          <w:rFonts w:cs="Arial"/>
        </w:rPr>
        <w:t xml:space="preserve"> 1 (Anschluss an die A1 ist hergestellt) zwischen Verkehrsgutachten 2015, Erläuterungsbericht zum Vorentwurf 2015 und dem Erläuterungsbericht 2017</w:t>
      </w:r>
    </w:p>
    <w:p w:rsidR="007F3D87" w:rsidRPr="00F43C5C" w:rsidRDefault="007F3D87" w:rsidP="007F3D87">
      <w:pPr>
        <w:widowControl w:val="0"/>
        <w:autoSpaceDE w:val="0"/>
        <w:autoSpaceDN w:val="0"/>
        <w:adjustRightInd w:val="0"/>
        <w:ind w:left="348"/>
        <w:rPr>
          <w:rFonts w:cs="Arial"/>
        </w:rPr>
      </w:pPr>
    </w:p>
    <w:tbl>
      <w:tblPr>
        <w:tblStyle w:val="Tabellenraster"/>
        <w:tblW w:w="0" w:type="auto"/>
        <w:tblLook w:val="04A0" w:firstRow="1" w:lastRow="0" w:firstColumn="1" w:lastColumn="0" w:noHBand="0" w:noVBand="1"/>
      </w:tblPr>
      <w:tblGrid>
        <w:gridCol w:w="2394"/>
        <w:gridCol w:w="2227"/>
        <w:gridCol w:w="2543"/>
        <w:gridCol w:w="2117"/>
      </w:tblGrid>
      <w:tr w:rsidR="007F3D87" w:rsidTr="007F3D87">
        <w:trPr>
          <w:trHeight w:val="868"/>
        </w:trPr>
        <w:tc>
          <w:tcPr>
            <w:tcW w:w="2480" w:type="dxa"/>
          </w:tcPr>
          <w:p w:rsidR="007F3D87" w:rsidRDefault="007F3D87" w:rsidP="007F3D87">
            <w:pPr>
              <w:widowControl w:val="0"/>
              <w:autoSpaceDE w:val="0"/>
              <w:autoSpaceDN w:val="0"/>
              <w:adjustRightInd w:val="0"/>
              <w:rPr>
                <w:rFonts w:cs="Arial"/>
              </w:rPr>
            </w:pPr>
          </w:p>
          <w:p w:rsidR="007F3D87" w:rsidRDefault="007F3D87" w:rsidP="007F3D87">
            <w:pPr>
              <w:widowControl w:val="0"/>
              <w:autoSpaceDE w:val="0"/>
              <w:autoSpaceDN w:val="0"/>
              <w:adjustRightInd w:val="0"/>
              <w:rPr>
                <w:rFonts w:cs="Arial"/>
              </w:rPr>
            </w:pPr>
          </w:p>
        </w:tc>
        <w:tc>
          <w:tcPr>
            <w:tcW w:w="6801" w:type="dxa"/>
            <w:gridSpan w:val="3"/>
          </w:tcPr>
          <w:p w:rsidR="007F3D87" w:rsidRDefault="007F3D87" w:rsidP="007F3D87">
            <w:pPr>
              <w:widowControl w:val="0"/>
              <w:autoSpaceDE w:val="0"/>
              <w:autoSpaceDN w:val="0"/>
              <w:adjustRightInd w:val="0"/>
              <w:jc w:val="center"/>
              <w:rPr>
                <w:rFonts w:cs="Arial"/>
              </w:rPr>
            </w:pPr>
            <w:proofErr w:type="spellStart"/>
            <w:r>
              <w:rPr>
                <w:rFonts w:cs="Arial"/>
              </w:rPr>
              <w:t>Planfall</w:t>
            </w:r>
            <w:proofErr w:type="spellEnd"/>
            <w:r>
              <w:rPr>
                <w:rFonts w:cs="Arial"/>
              </w:rPr>
              <w:t xml:space="preserve"> 1 2025 (Anschluss an die A1 hergestellt)</w:t>
            </w:r>
          </w:p>
        </w:tc>
      </w:tr>
      <w:tr w:rsidR="007F3D87" w:rsidRPr="00B26D15" w:rsidTr="007F3D87">
        <w:tc>
          <w:tcPr>
            <w:tcW w:w="2480" w:type="dxa"/>
          </w:tcPr>
          <w:p w:rsidR="007F3D87" w:rsidRPr="00B26D15" w:rsidRDefault="007F3D87" w:rsidP="007F3D87">
            <w:pPr>
              <w:widowControl w:val="0"/>
              <w:autoSpaceDE w:val="0"/>
              <w:autoSpaceDN w:val="0"/>
              <w:adjustRightInd w:val="0"/>
              <w:jc w:val="center"/>
              <w:rPr>
                <w:rFonts w:cs="Arial"/>
                <w:b/>
                <w:sz w:val="20"/>
                <w:szCs w:val="20"/>
              </w:rPr>
            </w:pPr>
            <w:r w:rsidRPr="00B26D15">
              <w:rPr>
                <w:rFonts w:cs="Arial"/>
                <w:b/>
                <w:sz w:val="20"/>
                <w:szCs w:val="20"/>
              </w:rPr>
              <w:t>Planungsabschnitt</w:t>
            </w:r>
          </w:p>
          <w:p w:rsidR="007F3D87" w:rsidRPr="00B26D15" w:rsidRDefault="007F3D87" w:rsidP="007F3D87">
            <w:pPr>
              <w:widowControl w:val="0"/>
              <w:autoSpaceDE w:val="0"/>
              <w:autoSpaceDN w:val="0"/>
              <w:adjustRightInd w:val="0"/>
              <w:jc w:val="center"/>
              <w:rPr>
                <w:rFonts w:cs="Arial"/>
                <w:b/>
                <w:sz w:val="20"/>
                <w:szCs w:val="20"/>
              </w:rPr>
            </w:pPr>
          </w:p>
        </w:tc>
        <w:tc>
          <w:tcPr>
            <w:tcW w:w="2298" w:type="dxa"/>
          </w:tcPr>
          <w:p w:rsidR="007F3D87" w:rsidRPr="00B26D15" w:rsidRDefault="007F3D87" w:rsidP="007F3D87">
            <w:pPr>
              <w:widowControl w:val="0"/>
              <w:autoSpaceDE w:val="0"/>
              <w:autoSpaceDN w:val="0"/>
              <w:adjustRightInd w:val="0"/>
              <w:jc w:val="center"/>
              <w:rPr>
                <w:rFonts w:cs="Arial"/>
                <w:b/>
                <w:sz w:val="20"/>
                <w:szCs w:val="20"/>
              </w:rPr>
            </w:pPr>
            <w:r w:rsidRPr="00B26D15">
              <w:rPr>
                <w:rFonts w:cs="Arial"/>
                <w:b/>
                <w:sz w:val="20"/>
                <w:szCs w:val="20"/>
              </w:rPr>
              <w:t>Erläuterungsbericht zum Vorentwurf 2015</w:t>
            </w:r>
          </w:p>
        </w:tc>
        <w:tc>
          <w:tcPr>
            <w:tcW w:w="2631" w:type="dxa"/>
          </w:tcPr>
          <w:p w:rsidR="007F3D87" w:rsidRPr="00B26D15" w:rsidRDefault="007F3D87" w:rsidP="007F3D87">
            <w:pPr>
              <w:widowControl w:val="0"/>
              <w:autoSpaceDE w:val="0"/>
              <w:autoSpaceDN w:val="0"/>
              <w:adjustRightInd w:val="0"/>
              <w:jc w:val="center"/>
              <w:rPr>
                <w:rFonts w:cs="Arial"/>
                <w:b/>
                <w:sz w:val="20"/>
                <w:szCs w:val="20"/>
              </w:rPr>
            </w:pPr>
            <w:r w:rsidRPr="00B26D15">
              <w:rPr>
                <w:rFonts w:cs="Arial"/>
                <w:b/>
                <w:sz w:val="20"/>
                <w:szCs w:val="20"/>
              </w:rPr>
              <w:t>Verkehrsuntersuchung 2015</w:t>
            </w:r>
          </w:p>
        </w:tc>
        <w:tc>
          <w:tcPr>
            <w:tcW w:w="1872" w:type="dxa"/>
          </w:tcPr>
          <w:p w:rsidR="007F3D87" w:rsidRPr="00B26D15" w:rsidRDefault="007F3D87" w:rsidP="007F3D87">
            <w:pPr>
              <w:widowControl w:val="0"/>
              <w:autoSpaceDE w:val="0"/>
              <w:autoSpaceDN w:val="0"/>
              <w:adjustRightInd w:val="0"/>
              <w:jc w:val="center"/>
              <w:rPr>
                <w:rFonts w:cs="Arial"/>
                <w:b/>
                <w:sz w:val="20"/>
                <w:szCs w:val="20"/>
              </w:rPr>
            </w:pPr>
            <w:r w:rsidRPr="00B26D15">
              <w:rPr>
                <w:rFonts w:cs="Arial"/>
                <w:b/>
                <w:sz w:val="20"/>
                <w:szCs w:val="20"/>
              </w:rPr>
              <w:t>Erläuterungsbericht 2017</w:t>
            </w:r>
          </w:p>
        </w:tc>
      </w:tr>
      <w:tr w:rsidR="007F3D87" w:rsidTr="007F3D87">
        <w:tc>
          <w:tcPr>
            <w:tcW w:w="2480" w:type="dxa"/>
          </w:tcPr>
          <w:p w:rsidR="007F3D87" w:rsidRPr="00B26D15" w:rsidRDefault="007F3D87" w:rsidP="007F3D87">
            <w:pPr>
              <w:widowControl w:val="0"/>
              <w:autoSpaceDE w:val="0"/>
              <w:autoSpaceDN w:val="0"/>
              <w:adjustRightInd w:val="0"/>
              <w:jc w:val="center"/>
              <w:rPr>
                <w:rFonts w:cs="Arial"/>
              </w:rPr>
            </w:pPr>
            <w:r w:rsidRPr="00B26D15">
              <w:rPr>
                <w:rFonts w:cs="Arial"/>
              </w:rPr>
              <w:t>L 419, Abschnitt 1: Lichtscheider</w:t>
            </w:r>
          </w:p>
          <w:p w:rsidR="007F3D87" w:rsidRDefault="007F3D87" w:rsidP="007F3D87">
            <w:pPr>
              <w:widowControl w:val="0"/>
              <w:autoSpaceDE w:val="0"/>
              <w:autoSpaceDN w:val="0"/>
              <w:adjustRightInd w:val="0"/>
              <w:jc w:val="center"/>
              <w:rPr>
                <w:rFonts w:cs="Arial"/>
              </w:rPr>
            </w:pPr>
            <w:r w:rsidRPr="00B26D15">
              <w:rPr>
                <w:rFonts w:cs="Arial"/>
              </w:rPr>
              <w:t xml:space="preserve">Kreisel – KP </w:t>
            </w:r>
            <w:proofErr w:type="spellStart"/>
            <w:r w:rsidRPr="00B26D15">
              <w:rPr>
                <w:rFonts w:cs="Arial"/>
              </w:rPr>
              <w:t>Staubenthaler</w:t>
            </w:r>
            <w:proofErr w:type="spellEnd"/>
            <w:r w:rsidRPr="00B26D15">
              <w:rPr>
                <w:rFonts w:cs="Arial"/>
              </w:rPr>
              <w:t xml:space="preserve"> Str.</w:t>
            </w:r>
          </w:p>
        </w:tc>
        <w:tc>
          <w:tcPr>
            <w:tcW w:w="2298"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62.400</w:t>
            </w:r>
          </w:p>
        </w:tc>
        <w:tc>
          <w:tcPr>
            <w:tcW w:w="2631"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65.100</w:t>
            </w:r>
          </w:p>
        </w:tc>
        <w:tc>
          <w:tcPr>
            <w:tcW w:w="1872"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65.100</w:t>
            </w:r>
          </w:p>
        </w:tc>
      </w:tr>
      <w:tr w:rsidR="007F3D87" w:rsidTr="007F3D87">
        <w:tc>
          <w:tcPr>
            <w:tcW w:w="2480" w:type="dxa"/>
          </w:tcPr>
          <w:p w:rsidR="007F3D87" w:rsidRPr="00B26D15" w:rsidRDefault="007F3D87" w:rsidP="007F3D87">
            <w:pPr>
              <w:widowControl w:val="0"/>
              <w:autoSpaceDE w:val="0"/>
              <w:autoSpaceDN w:val="0"/>
              <w:adjustRightInd w:val="0"/>
              <w:jc w:val="center"/>
              <w:rPr>
                <w:rFonts w:cs="Arial"/>
              </w:rPr>
            </w:pPr>
            <w:r w:rsidRPr="00B26D15">
              <w:rPr>
                <w:rFonts w:cs="Arial"/>
              </w:rPr>
              <w:t xml:space="preserve">L 419, Abschnitt 2: KP </w:t>
            </w:r>
            <w:proofErr w:type="spellStart"/>
            <w:r w:rsidRPr="00B26D15">
              <w:rPr>
                <w:rFonts w:cs="Arial"/>
              </w:rPr>
              <w:t>Staubenthaler</w:t>
            </w:r>
            <w:proofErr w:type="spellEnd"/>
          </w:p>
          <w:p w:rsidR="007F3D87" w:rsidRDefault="007F3D87" w:rsidP="007F3D87">
            <w:pPr>
              <w:widowControl w:val="0"/>
              <w:autoSpaceDE w:val="0"/>
              <w:autoSpaceDN w:val="0"/>
              <w:adjustRightInd w:val="0"/>
              <w:jc w:val="center"/>
              <w:rPr>
                <w:rFonts w:cs="Arial"/>
              </w:rPr>
            </w:pPr>
            <w:r w:rsidRPr="00B26D15">
              <w:rPr>
                <w:rFonts w:cs="Arial"/>
              </w:rPr>
              <w:t xml:space="preserve">Straße – KP </w:t>
            </w:r>
            <w:proofErr w:type="spellStart"/>
            <w:r w:rsidRPr="00B26D15">
              <w:rPr>
                <w:rFonts w:cs="Arial"/>
              </w:rPr>
              <w:t>Erbschlöer</w:t>
            </w:r>
            <w:proofErr w:type="spellEnd"/>
            <w:r w:rsidRPr="00B26D15">
              <w:rPr>
                <w:rFonts w:cs="Arial"/>
              </w:rPr>
              <w:t xml:space="preserve"> Str.</w:t>
            </w:r>
          </w:p>
        </w:tc>
        <w:tc>
          <w:tcPr>
            <w:tcW w:w="2298"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48.900</w:t>
            </w:r>
          </w:p>
          <w:p w:rsidR="007F3D87" w:rsidRDefault="007F3D87" w:rsidP="007F3D87">
            <w:pPr>
              <w:widowControl w:val="0"/>
              <w:autoSpaceDE w:val="0"/>
              <w:autoSpaceDN w:val="0"/>
              <w:adjustRightInd w:val="0"/>
              <w:jc w:val="center"/>
              <w:rPr>
                <w:rFonts w:cs="Arial"/>
              </w:rPr>
            </w:pPr>
          </w:p>
        </w:tc>
        <w:tc>
          <w:tcPr>
            <w:tcW w:w="2631"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51.700</w:t>
            </w:r>
          </w:p>
        </w:tc>
        <w:tc>
          <w:tcPr>
            <w:tcW w:w="1872"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51.700</w:t>
            </w:r>
          </w:p>
        </w:tc>
      </w:tr>
      <w:tr w:rsidR="007F3D87" w:rsidTr="007F3D87">
        <w:trPr>
          <w:trHeight w:val="1277"/>
        </w:trPr>
        <w:tc>
          <w:tcPr>
            <w:tcW w:w="2480" w:type="dxa"/>
          </w:tcPr>
          <w:p w:rsidR="007F3D87" w:rsidRPr="00B26D15" w:rsidRDefault="007F3D87" w:rsidP="007F3D87">
            <w:pPr>
              <w:widowControl w:val="0"/>
              <w:autoSpaceDE w:val="0"/>
              <w:autoSpaceDN w:val="0"/>
              <w:adjustRightInd w:val="0"/>
              <w:jc w:val="center"/>
              <w:rPr>
                <w:rFonts w:cs="Arial"/>
              </w:rPr>
            </w:pPr>
            <w:r w:rsidRPr="00B26D15">
              <w:rPr>
                <w:rFonts w:cs="Arial"/>
              </w:rPr>
              <w:t>L 419, Abschnitt 3: KP „</w:t>
            </w:r>
            <w:proofErr w:type="spellStart"/>
            <w:r w:rsidRPr="00B26D15">
              <w:rPr>
                <w:rFonts w:cs="Arial"/>
              </w:rPr>
              <w:t>Erbschlöer</w:t>
            </w:r>
            <w:proofErr w:type="spellEnd"/>
          </w:p>
          <w:p w:rsidR="007F3D87" w:rsidRDefault="007F3D87" w:rsidP="007F3D87">
            <w:pPr>
              <w:widowControl w:val="0"/>
              <w:autoSpaceDE w:val="0"/>
              <w:autoSpaceDN w:val="0"/>
              <w:adjustRightInd w:val="0"/>
              <w:jc w:val="center"/>
              <w:rPr>
                <w:rFonts w:cs="Arial"/>
              </w:rPr>
            </w:pPr>
            <w:r w:rsidRPr="00B26D15">
              <w:rPr>
                <w:rFonts w:cs="Arial"/>
              </w:rPr>
              <w:t>Straße“ – Otto-Hahn-Straße</w:t>
            </w:r>
          </w:p>
        </w:tc>
        <w:tc>
          <w:tcPr>
            <w:tcW w:w="2298"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36.300</w:t>
            </w:r>
          </w:p>
        </w:tc>
        <w:tc>
          <w:tcPr>
            <w:tcW w:w="2631"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38.200</w:t>
            </w:r>
          </w:p>
        </w:tc>
        <w:tc>
          <w:tcPr>
            <w:tcW w:w="1872"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38.200</w:t>
            </w:r>
          </w:p>
        </w:tc>
      </w:tr>
      <w:tr w:rsidR="007F3D87" w:rsidTr="007F3D87">
        <w:tc>
          <w:tcPr>
            <w:tcW w:w="2480" w:type="dxa"/>
          </w:tcPr>
          <w:p w:rsidR="007F3D87" w:rsidRDefault="007F3D87" w:rsidP="007F3D87">
            <w:pPr>
              <w:widowControl w:val="0"/>
              <w:autoSpaceDE w:val="0"/>
              <w:autoSpaceDN w:val="0"/>
              <w:adjustRightInd w:val="0"/>
              <w:jc w:val="center"/>
              <w:rPr>
                <w:rFonts w:cs="Arial"/>
              </w:rPr>
            </w:pPr>
            <w:proofErr w:type="spellStart"/>
            <w:r w:rsidRPr="00B26D15">
              <w:rPr>
                <w:rFonts w:cs="Arial"/>
              </w:rPr>
              <w:t>Blombachtalbrücke</w:t>
            </w:r>
            <w:proofErr w:type="spellEnd"/>
          </w:p>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p>
        </w:tc>
        <w:tc>
          <w:tcPr>
            <w:tcW w:w="2298"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5.800</w:t>
            </w:r>
          </w:p>
        </w:tc>
        <w:tc>
          <w:tcPr>
            <w:tcW w:w="2631"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7.900</w:t>
            </w:r>
          </w:p>
        </w:tc>
        <w:tc>
          <w:tcPr>
            <w:tcW w:w="1872"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7.900</w:t>
            </w:r>
          </w:p>
          <w:p w:rsidR="007F3D87" w:rsidRDefault="007F3D87" w:rsidP="007F3D87">
            <w:pPr>
              <w:widowControl w:val="0"/>
              <w:autoSpaceDE w:val="0"/>
              <w:autoSpaceDN w:val="0"/>
              <w:adjustRightInd w:val="0"/>
              <w:jc w:val="center"/>
              <w:rPr>
                <w:rFonts w:cs="Arial"/>
              </w:rPr>
            </w:pPr>
          </w:p>
        </w:tc>
      </w:tr>
      <w:tr w:rsidR="007F3D87" w:rsidTr="007F3D87">
        <w:tc>
          <w:tcPr>
            <w:tcW w:w="2480" w:type="dxa"/>
          </w:tcPr>
          <w:p w:rsidR="007F3D87" w:rsidRDefault="007F3D87" w:rsidP="007F3D87">
            <w:pPr>
              <w:widowControl w:val="0"/>
              <w:autoSpaceDE w:val="0"/>
              <w:autoSpaceDN w:val="0"/>
              <w:adjustRightInd w:val="0"/>
              <w:jc w:val="center"/>
              <w:rPr>
                <w:rFonts w:cs="Arial"/>
              </w:rPr>
            </w:pPr>
            <w:proofErr w:type="spellStart"/>
            <w:r w:rsidRPr="00B26D15">
              <w:rPr>
                <w:rFonts w:cs="Arial"/>
              </w:rPr>
              <w:t>Staubenthaler</w:t>
            </w:r>
            <w:proofErr w:type="spellEnd"/>
            <w:r w:rsidRPr="00B26D15">
              <w:rPr>
                <w:rFonts w:cs="Arial"/>
              </w:rPr>
              <w:t xml:space="preserve"> Straße</w:t>
            </w:r>
          </w:p>
          <w:p w:rsidR="007F3D87" w:rsidRDefault="007F3D87" w:rsidP="007F3D87">
            <w:pPr>
              <w:widowControl w:val="0"/>
              <w:autoSpaceDE w:val="0"/>
              <w:autoSpaceDN w:val="0"/>
              <w:adjustRightInd w:val="0"/>
              <w:jc w:val="center"/>
              <w:rPr>
                <w:rFonts w:cs="Arial"/>
              </w:rPr>
            </w:pPr>
          </w:p>
        </w:tc>
        <w:tc>
          <w:tcPr>
            <w:tcW w:w="2298"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11.900</w:t>
            </w:r>
          </w:p>
        </w:tc>
        <w:tc>
          <w:tcPr>
            <w:tcW w:w="2631"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14.100</w:t>
            </w:r>
          </w:p>
        </w:tc>
        <w:tc>
          <w:tcPr>
            <w:tcW w:w="1872" w:type="dxa"/>
          </w:tcPr>
          <w:p w:rsidR="007F3D87" w:rsidRDefault="007F3D87" w:rsidP="007F3D87">
            <w:pPr>
              <w:widowControl w:val="0"/>
              <w:autoSpaceDE w:val="0"/>
              <w:autoSpaceDN w:val="0"/>
              <w:adjustRightInd w:val="0"/>
              <w:jc w:val="center"/>
              <w:rPr>
                <w:rFonts w:cs="Arial"/>
              </w:rPr>
            </w:pPr>
          </w:p>
          <w:p w:rsidR="007F3D87" w:rsidRDefault="007F3D87" w:rsidP="007F3D87">
            <w:pPr>
              <w:widowControl w:val="0"/>
              <w:autoSpaceDE w:val="0"/>
              <w:autoSpaceDN w:val="0"/>
              <w:adjustRightInd w:val="0"/>
              <w:jc w:val="center"/>
              <w:rPr>
                <w:rFonts w:cs="Arial"/>
              </w:rPr>
            </w:pPr>
            <w:r>
              <w:rPr>
                <w:rFonts w:cs="Arial"/>
              </w:rPr>
              <w:t>14.100</w:t>
            </w:r>
          </w:p>
        </w:tc>
      </w:tr>
      <w:tr w:rsidR="007F3D87" w:rsidTr="007F3D87">
        <w:tc>
          <w:tcPr>
            <w:tcW w:w="2480" w:type="dxa"/>
          </w:tcPr>
          <w:p w:rsidR="007F3D87" w:rsidRDefault="007F3D87" w:rsidP="007F3D87">
            <w:pPr>
              <w:widowControl w:val="0"/>
              <w:autoSpaceDE w:val="0"/>
              <w:autoSpaceDN w:val="0"/>
              <w:adjustRightInd w:val="0"/>
              <w:jc w:val="center"/>
              <w:rPr>
                <w:rFonts w:cs="Arial"/>
              </w:rPr>
            </w:pPr>
            <w:proofErr w:type="spellStart"/>
            <w:r w:rsidRPr="00B26D15">
              <w:rPr>
                <w:rFonts w:cs="Arial"/>
              </w:rPr>
              <w:t>Erbschlöer</w:t>
            </w:r>
            <w:proofErr w:type="spellEnd"/>
            <w:r w:rsidRPr="00B26D15">
              <w:rPr>
                <w:rFonts w:cs="Arial"/>
              </w:rPr>
              <w:t xml:space="preserve"> Straße</w:t>
            </w:r>
          </w:p>
          <w:p w:rsidR="007F3D87" w:rsidRDefault="007F3D87" w:rsidP="007F3D87">
            <w:pPr>
              <w:widowControl w:val="0"/>
              <w:autoSpaceDE w:val="0"/>
              <w:autoSpaceDN w:val="0"/>
              <w:adjustRightInd w:val="0"/>
              <w:jc w:val="center"/>
              <w:rPr>
                <w:rFonts w:cs="Arial"/>
              </w:rPr>
            </w:pPr>
          </w:p>
          <w:p w:rsidR="007F3D87" w:rsidRPr="00B26D15" w:rsidRDefault="007F3D87" w:rsidP="007F3D87">
            <w:pPr>
              <w:widowControl w:val="0"/>
              <w:autoSpaceDE w:val="0"/>
              <w:autoSpaceDN w:val="0"/>
              <w:adjustRightInd w:val="0"/>
              <w:jc w:val="center"/>
              <w:rPr>
                <w:rFonts w:cs="Arial"/>
              </w:rPr>
            </w:pPr>
          </w:p>
        </w:tc>
        <w:tc>
          <w:tcPr>
            <w:tcW w:w="2298" w:type="dxa"/>
          </w:tcPr>
          <w:p w:rsidR="007F3D87" w:rsidRPr="00E72F8B" w:rsidRDefault="007F3D87" w:rsidP="007F3D87">
            <w:pPr>
              <w:widowControl w:val="0"/>
              <w:autoSpaceDE w:val="0"/>
              <w:autoSpaceDN w:val="0"/>
              <w:adjustRightInd w:val="0"/>
              <w:jc w:val="center"/>
              <w:rPr>
                <w:rFonts w:cs="Arial"/>
                <w:color w:val="FF0000"/>
              </w:rPr>
            </w:pPr>
          </w:p>
          <w:p w:rsidR="007F3D87" w:rsidRPr="00E72F8B" w:rsidRDefault="007F3D87" w:rsidP="007F3D87">
            <w:pPr>
              <w:widowControl w:val="0"/>
              <w:autoSpaceDE w:val="0"/>
              <w:autoSpaceDN w:val="0"/>
              <w:adjustRightInd w:val="0"/>
              <w:jc w:val="center"/>
              <w:rPr>
                <w:rFonts w:cs="Arial"/>
                <w:color w:val="FF0000"/>
              </w:rPr>
            </w:pPr>
            <w:r w:rsidRPr="00E72F8B">
              <w:rPr>
                <w:rFonts w:cs="Arial"/>
                <w:color w:val="FF0000"/>
              </w:rPr>
              <w:t>15.300</w:t>
            </w:r>
          </w:p>
        </w:tc>
        <w:tc>
          <w:tcPr>
            <w:tcW w:w="2631" w:type="dxa"/>
          </w:tcPr>
          <w:p w:rsidR="007F3D87" w:rsidRPr="00E72F8B" w:rsidRDefault="007F3D87" w:rsidP="007F3D87">
            <w:pPr>
              <w:widowControl w:val="0"/>
              <w:autoSpaceDE w:val="0"/>
              <w:autoSpaceDN w:val="0"/>
              <w:adjustRightInd w:val="0"/>
              <w:jc w:val="center"/>
              <w:rPr>
                <w:rFonts w:cs="Arial"/>
                <w:color w:val="FF0000"/>
              </w:rPr>
            </w:pPr>
          </w:p>
          <w:p w:rsidR="007F3D87" w:rsidRPr="00E72F8B" w:rsidRDefault="007F3D87" w:rsidP="007F3D87">
            <w:pPr>
              <w:widowControl w:val="0"/>
              <w:autoSpaceDE w:val="0"/>
              <w:autoSpaceDN w:val="0"/>
              <w:adjustRightInd w:val="0"/>
              <w:jc w:val="center"/>
              <w:rPr>
                <w:rFonts w:cs="Arial"/>
                <w:color w:val="FF0000"/>
              </w:rPr>
            </w:pPr>
            <w:r w:rsidRPr="00E72F8B">
              <w:rPr>
                <w:rFonts w:cs="Arial"/>
                <w:color w:val="FF0000"/>
              </w:rPr>
              <w:t>16.500</w:t>
            </w:r>
          </w:p>
        </w:tc>
        <w:tc>
          <w:tcPr>
            <w:tcW w:w="1872" w:type="dxa"/>
          </w:tcPr>
          <w:p w:rsidR="007F3D87" w:rsidRPr="00E72F8B" w:rsidRDefault="007F3D87" w:rsidP="007F3D87">
            <w:pPr>
              <w:widowControl w:val="0"/>
              <w:autoSpaceDE w:val="0"/>
              <w:autoSpaceDN w:val="0"/>
              <w:adjustRightInd w:val="0"/>
              <w:jc w:val="center"/>
              <w:rPr>
                <w:rFonts w:cs="Arial"/>
                <w:color w:val="FF0000"/>
              </w:rPr>
            </w:pPr>
          </w:p>
          <w:p w:rsidR="007F3D87" w:rsidRPr="00E72F8B" w:rsidRDefault="007F3D87" w:rsidP="007F3D87">
            <w:pPr>
              <w:widowControl w:val="0"/>
              <w:autoSpaceDE w:val="0"/>
              <w:autoSpaceDN w:val="0"/>
              <w:adjustRightInd w:val="0"/>
              <w:jc w:val="center"/>
              <w:rPr>
                <w:rFonts w:cs="Arial"/>
                <w:color w:val="FF0000"/>
              </w:rPr>
            </w:pPr>
            <w:r w:rsidRPr="00E72F8B">
              <w:rPr>
                <w:rFonts w:cs="Arial"/>
                <w:color w:val="FF0000"/>
              </w:rPr>
              <w:t>21.300</w:t>
            </w:r>
          </w:p>
        </w:tc>
      </w:tr>
    </w:tbl>
    <w:p w:rsidR="007F3D87" w:rsidRDefault="007F3D87" w:rsidP="007F3D87">
      <w:pPr>
        <w:widowControl w:val="0"/>
        <w:autoSpaceDE w:val="0"/>
        <w:autoSpaceDN w:val="0"/>
        <w:adjustRightInd w:val="0"/>
        <w:rPr>
          <w:rFonts w:cs="Arial"/>
        </w:rPr>
      </w:pPr>
    </w:p>
    <w:p w:rsidR="007F3D87" w:rsidRPr="00B821A9" w:rsidRDefault="007F3D87" w:rsidP="007F3D87">
      <w:pPr>
        <w:widowControl w:val="0"/>
        <w:autoSpaceDE w:val="0"/>
        <w:autoSpaceDN w:val="0"/>
        <w:adjustRightInd w:val="0"/>
        <w:rPr>
          <w:rFonts w:cs="Arial"/>
        </w:rPr>
      </w:pPr>
    </w:p>
    <w:p w:rsidR="007F3D87" w:rsidRDefault="007F3D87" w:rsidP="007F3D87">
      <w:pPr>
        <w:widowControl w:val="0"/>
        <w:autoSpaceDE w:val="0"/>
        <w:autoSpaceDN w:val="0"/>
        <w:adjustRightInd w:val="0"/>
        <w:ind w:left="1068"/>
        <w:rPr>
          <w:rFonts w:cs="Arial"/>
        </w:rPr>
      </w:pPr>
      <w:r>
        <w:rPr>
          <w:rFonts w:cs="Arial"/>
        </w:rPr>
        <w:t>Wie kommt dieser Unterschied zustande?</w:t>
      </w:r>
    </w:p>
    <w:p w:rsidR="007F3D87" w:rsidRDefault="007F3D87" w:rsidP="007F3D87">
      <w:pPr>
        <w:widowControl w:val="0"/>
        <w:autoSpaceDE w:val="0"/>
        <w:autoSpaceDN w:val="0"/>
        <w:adjustRightInd w:val="0"/>
        <w:ind w:left="1068"/>
        <w:rPr>
          <w:rFonts w:cs="Arial"/>
        </w:rPr>
      </w:pPr>
    </w:p>
    <w:p w:rsidR="007F3D87" w:rsidRPr="00821AE4" w:rsidRDefault="007F3D87" w:rsidP="007F3D87">
      <w:pPr>
        <w:widowControl w:val="0"/>
        <w:autoSpaceDE w:val="0"/>
        <w:autoSpaceDN w:val="0"/>
        <w:adjustRightInd w:val="0"/>
        <w:ind w:left="1068"/>
        <w:rPr>
          <w:rFonts w:cs="Arial"/>
        </w:rPr>
      </w:pPr>
    </w:p>
    <w:p w:rsidR="007F3D87" w:rsidRPr="006A5963" w:rsidRDefault="007F3D87" w:rsidP="006A5963">
      <w:pPr>
        <w:pStyle w:val="Listenabsatz"/>
        <w:widowControl w:val="0"/>
        <w:numPr>
          <w:ilvl w:val="0"/>
          <w:numId w:val="1"/>
        </w:numPr>
        <w:autoSpaceDE w:val="0"/>
        <w:autoSpaceDN w:val="0"/>
        <w:adjustRightInd w:val="0"/>
        <w:ind w:left="1134" w:hanging="425"/>
        <w:rPr>
          <w:rFonts w:cs="Arial"/>
        </w:rPr>
      </w:pPr>
      <w:r w:rsidRPr="006A5963">
        <w:rPr>
          <w:rFonts w:cs="Arial"/>
        </w:rPr>
        <w:t>Auswirkungen des Vergleichs auf den Variantenvergleich des</w:t>
      </w:r>
      <w:r w:rsidR="006A5963" w:rsidRPr="006A5963">
        <w:rPr>
          <w:rFonts w:cs="Arial"/>
        </w:rPr>
        <w:t xml:space="preserve"> </w:t>
      </w:r>
      <w:r w:rsidRPr="006A5963">
        <w:rPr>
          <w:rFonts w:cs="Arial"/>
        </w:rPr>
        <w:t>Erläuterungsberichts</w:t>
      </w:r>
    </w:p>
    <w:p w:rsidR="007F3D87" w:rsidRPr="00821AE4" w:rsidRDefault="007F3D87" w:rsidP="007F3D87">
      <w:pPr>
        <w:widowControl w:val="0"/>
        <w:autoSpaceDE w:val="0"/>
        <w:autoSpaceDN w:val="0"/>
        <w:adjustRightInd w:val="0"/>
        <w:ind w:left="1068"/>
        <w:rPr>
          <w:rFonts w:cs="Arial"/>
        </w:rPr>
      </w:pPr>
    </w:p>
    <w:p w:rsidR="00201845" w:rsidRDefault="00201845" w:rsidP="007F3D87">
      <w:pPr>
        <w:widowControl w:val="0"/>
        <w:autoSpaceDE w:val="0"/>
        <w:autoSpaceDN w:val="0"/>
        <w:adjustRightInd w:val="0"/>
        <w:ind w:left="1068"/>
        <w:rPr>
          <w:rFonts w:cs="Arial"/>
        </w:rPr>
      </w:pPr>
      <w:r>
        <w:rPr>
          <w:rFonts w:cs="Arial"/>
        </w:rPr>
        <w:t>Die Variantenauswahl von Straßen NRW zum Neubau der L 419 beruht auf den Zahlen, die im Erläuterungsbericht zum Vorentwurf aus dem Jahr</w:t>
      </w:r>
    </w:p>
    <w:p w:rsidR="00201845" w:rsidRDefault="00201845" w:rsidP="007F3D87">
      <w:pPr>
        <w:widowControl w:val="0"/>
        <w:autoSpaceDE w:val="0"/>
        <w:autoSpaceDN w:val="0"/>
        <w:adjustRightInd w:val="0"/>
        <w:ind w:left="1068"/>
        <w:rPr>
          <w:rFonts w:cs="Arial"/>
        </w:rPr>
      </w:pPr>
      <w:r>
        <w:rPr>
          <w:rFonts w:cs="Arial"/>
        </w:rPr>
        <w:t xml:space="preserve">2015 enthalten sind. </w:t>
      </w:r>
    </w:p>
    <w:p w:rsidR="007F3D87" w:rsidRPr="00821AE4" w:rsidRDefault="00201845" w:rsidP="007F3D87">
      <w:pPr>
        <w:widowControl w:val="0"/>
        <w:autoSpaceDE w:val="0"/>
        <w:autoSpaceDN w:val="0"/>
        <w:adjustRightInd w:val="0"/>
        <w:ind w:left="1068"/>
        <w:rPr>
          <w:rFonts w:cs="Arial"/>
        </w:rPr>
      </w:pPr>
      <w:r>
        <w:rPr>
          <w:rFonts w:cs="Arial"/>
        </w:rPr>
        <w:t xml:space="preserve">Wenn sich nun aber, wie das im maßgeblichen Erläuterungsbericht von 2017 steht, die Verkehrszahlen erhöht haben, müssen auch </w:t>
      </w:r>
      <w:r w:rsidR="007F3D87" w:rsidRPr="00821AE4">
        <w:rPr>
          <w:rFonts w:cs="Arial"/>
        </w:rPr>
        <w:t xml:space="preserve"> Verkehrsbelastungen, die Lärmwirkungen und die Schadstoffwirkungen neu beurteilt werden. Dies gilt auch </w:t>
      </w:r>
      <w:proofErr w:type="spellStart"/>
      <w:r w:rsidR="007F3D87" w:rsidRPr="00821AE4">
        <w:rPr>
          <w:rFonts w:cs="Arial"/>
        </w:rPr>
        <w:t>für</w:t>
      </w:r>
      <w:proofErr w:type="spellEnd"/>
      <w:r w:rsidR="00DD431F">
        <w:rPr>
          <w:rFonts w:cs="Arial"/>
        </w:rPr>
        <w:t xml:space="preserve"> die Beurteilung der Varianten. </w:t>
      </w:r>
      <w:r w:rsidR="007F3D87" w:rsidRPr="00821AE4">
        <w:rPr>
          <w:rFonts w:cs="Arial"/>
        </w:rPr>
        <w:t xml:space="preserve">Grundsätzlich ist aufgrund der enorm hohen Verkehrsbelastung die </w:t>
      </w:r>
      <w:proofErr w:type="spellStart"/>
      <w:r w:rsidR="007F3D87" w:rsidRPr="00821AE4">
        <w:rPr>
          <w:rFonts w:cs="Arial"/>
        </w:rPr>
        <w:t>frühzeitig</w:t>
      </w:r>
      <w:proofErr w:type="spellEnd"/>
      <w:r w:rsidR="007F3D87" w:rsidRPr="00821AE4">
        <w:rPr>
          <w:rFonts w:cs="Arial"/>
        </w:rPr>
        <w:t xml:space="preserve"> im Jahr 2002 ausgeschiedene Variante C (</w:t>
      </w:r>
      <w:proofErr w:type="spellStart"/>
      <w:r w:rsidR="007F3D87" w:rsidRPr="00821AE4">
        <w:rPr>
          <w:rFonts w:cs="Arial"/>
        </w:rPr>
        <w:t>Troglage</w:t>
      </w:r>
      <w:proofErr w:type="spellEnd"/>
      <w:r w:rsidR="007F3D87" w:rsidRPr="00821AE4">
        <w:rPr>
          <w:rFonts w:cs="Arial"/>
        </w:rPr>
        <w:t xml:space="preserve"> mit Vollabsenkung der Hauptgradiente</w:t>
      </w:r>
      <w:r w:rsidR="00DD431F">
        <w:rPr>
          <w:rFonts w:cs="Arial"/>
        </w:rPr>
        <w:t xml:space="preserve"> von ca. 6 m unter Gelände)</w:t>
      </w:r>
      <w:r w:rsidR="007F3D87" w:rsidRPr="00821AE4">
        <w:rPr>
          <w:rFonts w:cs="Arial"/>
        </w:rPr>
        <w:t xml:space="preserve"> erneut zu </w:t>
      </w:r>
      <w:proofErr w:type="spellStart"/>
      <w:r w:rsidR="007F3D87" w:rsidRPr="00821AE4">
        <w:rPr>
          <w:rFonts w:cs="Arial"/>
        </w:rPr>
        <w:t>prüfen</w:t>
      </w:r>
      <w:proofErr w:type="spellEnd"/>
      <w:r w:rsidR="007F3D87" w:rsidRPr="00821AE4">
        <w:rPr>
          <w:rFonts w:cs="Arial"/>
        </w:rPr>
        <w:t>. Denn die damals vorgetragenen Gegenargumente sind vor dem Hintergrund der enorm hohen zusätzlichen Verkehrsbelastung, die durch die Verkehrsuntersuchung von IVV nachgewiesen wurde und die aufgrund der bei der SVZ 2015 gemessenen Belastung noch höher ausfällt, ganz anders zu beurteilen.</w:t>
      </w:r>
    </w:p>
    <w:p w:rsidR="00A6516D" w:rsidRDefault="00A6516D"/>
    <w:sectPr w:rsidR="00A6516D" w:rsidSect="005D7D6F">
      <w:pgSz w:w="11901" w:h="16840"/>
      <w:pgMar w:top="1418"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77D"/>
    <w:multiLevelType w:val="hybridMultilevel"/>
    <w:tmpl w:val="F49A3C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B81372"/>
    <w:multiLevelType w:val="hybridMultilevel"/>
    <w:tmpl w:val="7EBC4E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B8B3B8F"/>
    <w:multiLevelType w:val="hybridMultilevel"/>
    <w:tmpl w:val="175C834C"/>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
    <w:nsid w:val="71163917"/>
    <w:multiLevelType w:val="hybridMultilevel"/>
    <w:tmpl w:val="AE7C42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7D5876DB"/>
    <w:multiLevelType w:val="hybridMultilevel"/>
    <w:tmpl w:val="1388910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87"/>
    <w:rsid w:val="00032AF6"/>
    <w:rsid w:val="00201845"/>
    <w:rsid w:val="002B44F7"/>
    <w:rsid w:val="005D7D6F"/>
    <w:rsid w:val="006A5963"/>
    <w:rsid w:val="007F3D87"/>
    <w:rsid w:val="00A6516D"/>
    <w:rsid w:val="00DD4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B04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D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3D87"/>
    <w:pPr>
      <w:ind w:left="720"/>
      <w:contextualSpacing/>
    </w:pPr>
  </w:style>
  <w:style w:type="table" w:styleId="Tabellenraster">
    <w:name w:val="Table Grid"/>
    <w:basedOn w:val="NormaleTabelle"/>
    <w:uiPriority w:val="59"/>
    <w:rsid w:val="007F3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F3D8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F3D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D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3D87"/>
    <w:pPr>
      <w:ind w:left="720"/>
      <w:contextualSpacing/>
    </w:pPr>
  </w:style>
  <w:style w:type="table" w:styleId="Tabellenraster">
    <w:name w:val="Table Grid"/>
    <w:basedOn w:val="NormaleTabelle"/>
    <w:uiPriority w:val="59"/>
    <w:rsid w:val="007F3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F3D8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F3D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5869</Characters>
  <Application>Microsoft Macintosh Word</Application>
  <DocSecurity>0</DocSecurity>
  <Lines>48</Lines>
  <Paragraphs>13</Paragraphs>
  <ScaleCrop>false</ScaleCrop>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Wernecke</dc:creator>
  <cp:keywords/>
  <dc:description/>
  <cp:lastModifiedBy>Jürgen Wernecke</cp:lastModifiedBy>
  <cp:revision>1</cp:revision>
  <dcterms:created xsi:type="dcterms:W3CDTF">2017-12-06T09:08:00Z</dcterms:created>
  <dcterms:modified xsi:type="dcterms:W3CDTF">2017-12-06T09:37:00Z</dcterms:modified>
</cp:coreProperties>
</file>